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2869021" wp14:paraId="742DA488" wp14:textId="12BE6CE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2E2099B6">
        <w:drawing>
          <wp:inline xmlns:wp14="http://schemas.microsoft.com/office/word/2010/wordprocessingDrawing" wp14:editId="3B5F324A" wp14:anchorId="1E47005F">
            <wp:extent cx="2457450" cy="2457450"/>
            <wp:effectExtent l="0" t="0" r="0" b="0"/>
            <wp:docPr id="64767841" name="drawing" title="Picture 1, 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767841" name="Picture 64767841"/>
                    <pic:cNvPicPr/>
                  </pic:nvPicPr>
                  <pic:blipFill>
                    <a:blip xmlns:r="http://schemas.openxmlformats.org/officeDocument/2006/relationships" r:embed="rId2098564359">
                      <a:extLst>
                        <a:ext uri="{28A0092B-C50C-407E-A947-70E740481C1C}">
                          <a14:useLocalDpi xmlns:a14="http://schemas.microsoft.com/office/drawing/2010/main"/>
                        </a:ext>
                      </a:extLst>
                    </a:blip>
                    <a:stretch>
                      <a:fillRect/>
                    </a:stretch>
                  </pic:blipFill>
                  <pic:spPr>
                    <a:xfrm>
                      <a:off x="0" y="0"/>
                      <a:ext cx="2457450" cy="2457450"/>
                    </a:xfrm>
                    <a:prstGeom prst="rect">
                      <a:avLst/>
                    </a:prstGeom>
                  </pic:spPr>
                </pic:pic>
              </a:graphicData>
            </a:graphic>
          </wp:inline>
        </w:drawing>
      </w:r>
    </w:p>
    <w:p xmlns:wp14="http://schemas.microsoft.com/office/word/2010/wordml" w:rsidP="32869021" wp14:paraId="7D90503F" wp14:textId="52F1EAE6">
      <w:pPr>
        <w:spacing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JOB DESCRIPTION</w:t>
      </w: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685"/>
        <w:gridCol w:w="6300"/>
      </w:tblGrid>
      <w:tr w:rsidR="32869021" w:rsidTr="32869021" w14:paraId="51146395">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49BB01A1" w14:textId="2A605ABA">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p w:rsidR="32869021" w:rsidP="32869021" w:rsidRDefault="32869021" w14:paraId="4AD1BFCC" w14:textId="4C56BC46">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JOB TITLE</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1918F80E" w14:textId="6331E10A">
            <w:pPr>
              <w:spacing w:after="0" w:line="240" w:lineRule="auto"/>
              <w:jc w:val="both"/>
              <w:rPr>
                <w:rFonts w:ascii="Calibri" w:hAnsi="Calibri" w:eastAsia="Calibri" w:cs="Calibri"/>
                <w:b w:val="0"/>
                <w:bCs w:val="0"/>
                <w:i w:val="0"/>
                <w:iCs w:val="0"/>
                <w:color w:val="FF0000"/>
                <w:sz w:val="24"/>
                <w:szCs w:val="24"/>
              </w:rPr>
            </w:pPr>
            <w:r w:rsidRPr="32869021" w:rsidR="32869021">
              <w:rPr>
                <w:rFonts w:ascii="Calibri" w:hAnsi="Calibri" w:eastAsia="Calibri" w:cs="Calibri"/>
                <w:b w:val="0"/>
                <w:bCs w:val="0"/>
                <w:i w:val="0"/>
                <w:iCs w:val="0"/>
                <w:color w:val="FF0000"/>
                <w:sz w:val="24"/>
                <w:szCs w:val="24"/>
                <w:lang w:val="en-GB"/>
              </w:rPr>
              <w:t> </w:t>
            </w:r>
          </w:p>
          <w:p w:rsidR="32869021" w:rsidP="32869021" w:rsidRDefault="32869021" w14:paraId="23AEC07B" w14:textId="083839AD">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Family Support Worker </w:t>
            </w:r>
          </w:p>
        </w:tc>
      </w:tr>
      <w:tr w:rsidR="32869021" w:rsidTr="32869021" w14:paraId="739F323D">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23274243" w14:textId="7670B7EF">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0ABF5CDC" w14:textId="36FB6C42">
            <w:pPr>
              <w:spacing w:after="0" w:line="240" w:lineRule="auto"/>
              <w:jc w:val="both"/>
              <w:rPr>
                <w:rFonts w:ascii="Calibri" w:hAnsi="Calibri" w:eastAsia="Calibri" w:cs="Calibri"/>
                <w:b w:val="0"/>
                <w:bCs w:val="0"/>
                <w:i w:val="0"/>
                <w:iCs w:val="0"/>
                <w:color w:val="FF0000"/>
                <w:sz w:val="24"/>
                <w:szCs w:val="24"/>
              </w:rPr>
            </w:pPr>
            <w:r w:rsidRPr="32869021" w:rsidR="32869021">
              <w:rPr>
                <w:rFonts w:ascii="Calibri" w:hAnsi="Calibri" w:eastAsia="Calibri" w:cs="Calibri"/>
                <w:b w:val="0"/>
                <w:bCs w:val="0"/>
                <w:i w:val="0"/>
                <w:iCs w:val="0"/>
                <w:color w:val="FF0000"/>
                <w:sz w:val="24"/>
                <w:szCs w:val="24"/>
                <w:lang w:val="en-GB"/>
              </w:rPr>
              <w:t> </w:t>
            </w:r>
          </w:p>
        </w:tc>
      </w:tr>
      <w:tr w:rsidR="32869021" w:rsidTr="32869021" w14:paraId="1BD9E6FF">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2C48F17E" w14:textId="32DF19EC">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LOCATION</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5F081C04" w14:textId="00A8BE29">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Cross Green, Leeds, LS9  </w:t>
            </w:r>
          </w:p>
        </w:tc>
      </w:tr>
      <w:tr w:rsidR="32869021" w:rsidTr="32869021" w14:paraId="0A822CAC">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38DF8A06" w14:textId="17CAE85C">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2154893C" w14:textId="2F485C98">
            <w:pPr>
              <w:spacing w:after="0" w:line="240" w:lineRule="auto"/>
              <w:jc w:val="both"/>
              <w:rPr>
                <w:rFonts w:ascii="Calibri" w:hAnsi="Calibri" w:eastAsia="Calibri" w:cs="Calibri"/>
                <w:b w:val="0"/>
                <w:bCs w:val="0"/>
                <w:i w:val="0"/>
                <w:iCs w:val="0"/>
                <w:color w:val="FF0000"/>
                <w:sz w:val="24"/>
                <w:szCs w:val="24"/>
              </w:rPr>
            </w:pPr>
            <w:r w:rsidRPr="32869021" w:rsidR="32869021">
              <w:rPr>
                <w:rFonts w:ascii="Calibri" w:hAnsi="Calibri" w:eastAsia="Calibri" w:cs="Calibri"/>
                <w:b w:val="0"/>
                <w:bCs w:val="0"/>
                <w:i w:val="0"/>
                <w:iCs w:val="0"/>
                <w:color w:val="FF0000"/>
                <w:sz w:val="24"/>
                <w:szCs w:val="24"/>
                <w:lang w:val="en-GB"/>
              </w:rPr>
              <w:t> </w:t>
            </w:r>
          </w:p>
        </w:tc>
      </w:tr>
      <w:tr w:rsidR="32869021" w:rsidTr="32869021" w14:paraId="13E76A2C">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034730AC" w14:textId="21A3E5F4">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HOURS</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1F752A77" w14:textId="7AEFAF75">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21 per week </w:t>
            </w:r>
          </w:p>
        </w:tc>
      </w:tr>
      <w:tr w:rsidR="32869021" w:rsidTr="32869021" w14:paraId="1BE4F92B">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55405D7C" w14:textId="16BE8CC0">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15F066A8" w14:textId="355A8F66">
            <w:pPr>
              <w:spacing w:after="0" w:line="240" w:lineRule="auto"/>
              <w:jc w:val="both"/>
              <w:rPr>
                <w:rFonts w:ascii="Calibri" w:hAnsi="Calibri" w:eastAsia="Calibri" w:cs="Calibri"/>
                <w:b w:val="0"/>
                <w:bCs w:val="0"/>
                <w:i w:val="0"/>
                <w:iCs w:val="0"/>
                <w:sz w:val="24"/>
                <w:szCs w:val="24"/>
              </w:rPr>
            </w:pPr>
          </w:p>
        </w:tc>
      </w:tr>
      <w:tr w:rsidR="32869021" w:rsidTr="32869021" w14:paraId="09755DFD">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3659FED5" w14:textId="55367E88">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SALARY</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793E13C3" w14:textId="799F2580">
            <w:pPr>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0468E7AB">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7653AD21" w14:textId="71DA7C69">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 xml:space="preserve">CONTRACT   </w:t>
            </w:r>
          </w:p>
        </w:tc>
        <w:tc>
          <w:tcPr>
            <w:tcW w:w="6300" w:type="dxa"/>
            <w:tcBorders>
              <w:top w:val="nil"/>
              <w:left w:val="nil"/>
              <w:bottom w:val="nil"/>
              <w:right w:val="nil"/>
            </w:tcBorders>
            <w:tcMar>
              <w:left w:w="90" w:type="dxa"/>
              <w:right w:w="90" w:type="dxa"/>
            </w:tcMar>
            <w:vAlign w:val="top"/>
          </w:tcPr>
          <w:p w:rsidR="32869021" w:rsidP="32869021" w:rsidRDefault="32869021" w14:paraId="323159C3" w14:textId="7EFB5052">
            <w:pPr>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SCP 7, £27,097 per annum pro rata</w:t>
            </w:r>
          </w:p>
          <w:p w:rsidR="32869021" w:rsidP="32869021" w:rsidRDefault="32869021" w14:paraId="6EBF7E09" w14:textId="28EC10E8">
            <w:pPr>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150030CC">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5CF9CE09" w14:textId="0D4C2C72">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REPORTING TO</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3388270A" w14:textId="1A537365">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US"/>
              </w:rPr>
              <w:t>Bradford Team leader</w:t>
            </w:r>
          </w:p>
        </w:tc>
      </w:tr>
      <w:tr w:rsidR="32869021" w:rsidTr="32869021" w14:paraId="2B1EBF4F">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1E3BEB1F" w14:textId="5ED9F033">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7B0DF0B2" w14:textId="202F574A">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0"/>
                <w:bCs w:val="0"/>
                <w:i w:val="0"/>
                <w:iCs w:val="0"/>
                <w:sz w:val="24"/>
                <w:szCs w:val="24"/>
                <w:lang w:val="en-GB"/>
              </w:rPr>
              <w:t> </w:t>
            </w:r>
          </w:p>
        </w:tc>
      </w:tr>
      <w:tr w:rsidR="32869021" w:rsidTr="32869021" w14:paraId="306236A7">
        <w:trPr>
          <w:trHeight w:val="300"/>
        </w:trPr>
        <w:tc>
          <w:tcPr>
            <w:tcW w:w="2685" w:type="dxa"/>
            <w:tcBorders>
              <w:top w:val="nil"/>
              <w:left w:val="nil"/>
              <w:bottom w:val="nil"/>
              <w:right w:val="nil"/>
            </w:tcBorders>
            <w:tcMar>
              <w:left w:w="90" w:type="dxa"/>
              <w:right w:w="90" w:type="dxa"/>
            </w:tcMar>
            <w:vAlign w:val="top"/>
          </w:tcPr>
          <w:p w:rsidR="32869021" w:rsidP="32869021" w:rsidRDefault="32869021" w14:paraId="2FAD4473" w14:textId="7EF895FD">
            <w:pPr>
              <w:spacing w:after="0" w:line="240" w:lineRule="auto"/>
              <w:jc w:val="both"/>
              <w:rPr>
                <w:rFonts w:ascii="Calibri" w:hAnsi="Calibri" w:eastAsia="Calibri" w:cs="Calibri"/>
                <w:b w:val="0"/>
                <w:bCs w:val="0"/>
                <w:i w:val="0"/>
                <w:iCs w:val="0"/>
                <w:sz w:val="24"/>
                <w:szCs w:val="24"/>
              </w:rPr>
            </w:pPr>
            <w:r w:rsidRPr="32869021" w:rsidR="32869021">
              <w:rPr>
                <w:rFonts w:ascii="Calibri" w:hAnsi="Calibri" w:eastAsia="Calibri" w:cs="Calibri"/>
                <w:b w:val="1"/>
                <w:bCs w:val="1"/>
                <w:i w:val="0"/>
                <w:iCs w:val="0"/>
                <w:sz w:val="24"/>
                <w:szCs w:val="24"/>
                <w:lang w:val="en-GB"/>
              </w:rPr>
              <w:t>RESPONSIBLE FOR </w:t>
            </w:r>
            <w:r w:rsidRPr="32869021" w:rsidR="32869021">
              <w:rPr>
                <w:rFonts w:ascii="Calibri" w:hAnsi="Calibri" w:eastAsia="Calibri" w:cs="Calibri"/>
                <w:b w:val="0"/>
                <w:bCs w:val="0"/>
                <w:i w:val="0"/>
                <w:iCs w:val="0"/>
                <w:sz w:val="24"/>
                <w:szCs w:val="24"/>
                <w:lang w:val="en-GB"/>
              </w:rPr>
              <w:t> </w:t>
            </w:r>
          </w:p>
        </w:tc>
        <w:tc>
          <w:tcPr>
            <w:tcW w:w="6300" w:type="dxa"/>
            <w:tcBorders>
              <w:top w:val="nil"/>
              <w:left w:val="nil"/>
              <w:bottom w:val="nil"/>
              <w:right w:val="nil"/>
            </w:tcBorders>
            <w:tcMar>
              <w:left w:w="90" w:type="dxa"/>
              <w:right w:w="90" w:type="dxa"/>
            </w:tcMar>
            <w:vAlign w:val="top"/>
          </w:tcPr>
          <w:p w:rsidR="32869021" w:rsidP="32869021" w:rsidRDefault="32869021" w14:paraId="10FAB9B4" w14:textId="07F05928">
            <w:pPr>
              <w:spacing w:before="0" w:beforeAutospacing="off" w:after="0" w:afterAutospacing="off" w:line="240" w:lineRule="auto"/>
              <w:ind w:left="0" w:right="0"/>
              <w:jc w:val="both"/>
              <w:rPr>
                <w:rFonts w:ascii="Calibri" w:hAnsi="Calibri" w:eastAsia="Calibri" w:cs="Calibri"/>
                <w:b w:val="0"/>
                <w:bCs w:val="0"/>
                <w:i w:val="0"/>
                <w:iCs w:val="0"/>
                <w:sz w:val="24"/>
                <w:szCs w:val="24"/>
                <w:lang w:val="en-US"/>
              </w:rPr>
            </w:pPr>
            <w:r w:rsidRPr="32869021" w:rsidR="32869021">
              <w:rPr>
                <w:rFonts w:ascii="Calibri" w:hAnsi="Calibri" w:eastAsia="Calibri" w:cs="Calibri"/>
                <w:b w:val="0"/>
                <w:bCs w:val="0"/>
                <w:i w:val="0"/>
                <w:iCs w:val="0"/>
                <w:sz w:val="24"/>
                <w:szCs w:val="24"/>
                <w:lang w:val="en-US"/>
              </w:rPr>
              <w:t>Support families in the Bradford District to have positive outcomes</w:t>
            </w:r>
          </w:p>
        </w:tc>
      </w:tr>
    </w:tbl>
    <w:p xmlns:wp14="http://schemas.microsoft.com/office/word/2010/wordml" w:rsidP="32869021" wp14:paraId="1A07A616" wp14:textId="1EFF912C">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019EB08B" wp14:textId="781BEF67">
      <w:pPr>
        <w:bidi w:val="0"/>
        <w:spacing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US"/>
        </w:rPr>
        <w:t>The Organisation</w:t>
      </w:r>
    </w:p>
    <w:p xmlns:wp14="http://schemas.microsoft.com/office/word/2010/wordml" w:rsidP="32869021" wp14:paraId="0594CB17" wp14:textId="406619CF">
      <w:pPr>
        <w:bidi w:val="0"/>
        <w:spacing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0C862269" wp14:textId="58895762">
      <w:pPr>
        <w:bidi w:val="0"/>
        <w:spacing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Leeds Gypsy and Traveller Exchange (Leeds GATE) is an established and award-winning civil society organisation with a national profile.  We are recognised as being innovative, brave and creative.  Our overall aim is to improve quality of life for Gypsies and Travellers through addressing inequalities in homes, health, education, employment, financial and social inclusion. We run a number of community facing and strategic projects to achieve our aims including advocacy, community development and youth work. Those who access our services and activities are members of Leeds GATE. </w:t>
      </w:r>
    </w:p>
    <w:p xmlns:wp14="http://schemas.microsoft.com/office/word/2010/wordml" w:rsidP="32869021" wp14:paraId="763EE1F0" wp14:textId="5717A1F1">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42B2DC92" wp14:textId="66DE243C">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6272643D" wp14:textId="7559077D">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The Role</w:t>
      </w:r>
    </w:p>
    <w:p xmlns:wp14="http://schemas.microsoft.com/office/word/2010/wordml" w:rsidP="32869021" wp14:paraId="7DA1C69A" wp14:textId="6BE330D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4E63D228" wp14:textId="7F13DEA8">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is an exciting opportunity to join our small and committed team in Bradford as a Family Support Worker. You will deliver outreach across Bradford to build relationships and trust – providing access to activities, information and support. You will support families holistically, across a wide range of issues, removing barriers to support and supporting families to understand and navigate processes. You will support families to build protective factors and to have their voices heard. </w:t>
      </w:r>
    </w:p>
    <w:p xmlns:wp14="http://schemas.microsoft.com/office/word/2010/wordml" w:rsidP="32869021" wp14:paraId="2343D486" wp14:textId="2F32481C">
      <w:pPr>
        <w:bidi w:val="0"/>
        <w:spacing w:after="0" w:line="240" w:lineRule="auto"/>
        <w:jc w:val="both"/>
        <w:rPr>
          <w:rFonts w:ascii="Calibri" w:hAnsi="Calibri" w:eastAsia="Calibri" w:cs="Calibri"/>
          <w:b w:val="0"/>
          <w:bCs w:val="0"/>
          <w:i w:val="0"/>
          <w:iCs w:val="0"/>
          <w:caps w:val="0"/>
          <w:smallCaps w:val="0"/>
          <w:noProof w:val="0"/>
          <w:color w:val="EE0000"/>
          <w:sz w:val="24"/>
          <w:szCs w:val="24"/>
          <w:lang w:val="en-US"/>
        </w:rPr>
      </w:pPr>
    </w:p>
    <w:p xmlns:wp14="http://schemas.microsoft.com/office/word/2010/wordml" w:rsidP="32869021" wp14:paraId="57CCF214" wp14:textId="43571E3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US"/>
        </w:rPr>
        <w:t>Working with our Members</w:t>
      </w:r>
    </w:p>
    <w:p xmlns:wp14="http://schemas.microsoft.com/office/word/2010/wordml" w:rsidP="32869021" wp14:paraId="339F67AE" wp14:textId="4342404C">
      <w:pPr>
        <w:bidi w:val="0"/>
        <w:spacing w:before="0" w:beforeAutospacing="off" w:after="0" w:afterAutospacing="off"/>
        <w:ind w:left="0" w:right="243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1C856F21" wp14:textId="026DC7E1">
      <w:pPr>
        <w:pStyle w:val="ListParagraph"/>
        <w:numPr>
          <w:ilvl w:val="0"/>
          <w:numId w:val="1"/>
        </w:numPr>
        <w:bidi w:val="0"/>
        <w:spacing w:before="0" w:beforeAutospacing="off" w:after="200" w:afterAutospacing="off" w:line="276" w:lineRule="auto"/>
        <w:ind w:right="2430"/>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Deliver community-based outreach including activities that promote wellbeing to Gypsy Traveller children and families in Bradford – in houses, in yards, on local authority sites and on the roadside</w:t>
      </w:r>
    </w:p>
    <w:p xmlns:wp14="http://schemas.microsoft.com/office/word/2010/wordml" w:rsidP="32869021" wp14:paraId="3443CC22" wp14:textId="2328D459">
      <w:pPr>
        <w:pStyle w:val="ListParagraph"/>
        <w:numPr>
          <w:ilvl w:val="0"/>
          <w:numId w:val="1"/>
        </w:numPr>
        <w:bidi w:val="0"/>
        <w:spacing w:before="0" w:beforeAutospacing="off" w:after="200" w:afterAutospacing="off" w:line="276" w:lineRule="auto"/>
        <w:ind w:right="2430"/>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Support families in accessing provision such as education, welfare rights, health, housing, domestic violence, mental health and emotional wellbeing services</w:t>
      </w:r>
    </w:p>
    <w:p xmlns:wp14="http://schemas.microsoft.com/office/word/2010/wordml" w:rsidP="32869021" wp14:paraId="26B560F4" wp14:textId="23751929">
      <w:pPr>
        <w:pStyle w:val="ListParagraph"/>
        <w:numPr>
          <w:ilvl w:val="0"/>
          <w:numId w:val="1"/>
        </w:numPr>
        <w:bidi w:val="0"/>
        <w:spacing w:before="0" w:beforeAutospacing="off" w:after="200" w:afterAutospacing="off" w:line="276" w:lineRule="auto"/>
        <w:ind w:right="2430"/>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Support families to overcome practical, cultural, and language barriers – ensuring a flexible and responsive approach</w:t>
      </w:r>
    </w:p>
    <w:p xmlns:wp14="http://schemas.microsoft.com/office/word/2010/wordml" w:rsidP="32869021" wp14:paraId="1E959091" wp14:textId="79EB833D">
      <w:pPr>
        <w:pStyle w:val="ListParagraph"/>
        <w:numPr>
          <w:ilvl w:val="0"/>
          <w:numId w:val="1"/>
        </w:numPr>
        <w:bidi w:val="0"/>
        <w:spacing w:before="0" w:beforeAutospacing="off" w:after="200" w:afterAutospacing="off" w:line="276" w:lineRule="auto"/>
        <w:ind w:right="2430"/>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Support families who have an early help assessment or plan to understand and navigate the process</w:t>
      </w:r>
    </w:p>
    <w:p xmlns:wp14="http://schemas.microsoft.com/office/word/2010/wordml" w:rsidP="32869021" wp14:paraId="502B41C7" wp14:textId="339AB128">
      <w:pPr>
        <w:pStyle w:val="ListParagraph"/>
        <w:numPr>
          <w:ilvl w:val="0"/>
          <w:numId w:val="1"/>
        </w:numPr>
        <w:bidi w:val="0"/>
        <w:spacing w:before="0" w:beforeAutospacing="off" w:after="200" w:afterAutospacing="off" w:line="276" w:lineRule="auto"/>
        <w:ind w:right="2430"/>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Work collaboratively with the other Family Support Services and multi-agency partners </w:t>
      </w:r>
    </w:p>
    <w:p xmlns:wp14="http://schemas.microsoft.com/office/word/2010/wordml" w:rsidP="32869021" wp14:paraId="58F61AA6" wp14:textId="3D22C67F">
      <w:pPr>
        <w:pStyle w:val="ListParagraph"/>
        <w:numPr>
          <w:ilvl w:val="0"/>
          <w:numId w:val="1"/>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Apply a Whole Family Approach that addresses the needs of all family members holistically, including parents, carers, and children.</w:t>
      </w:r>
    </w:p>
    <w:p xmlns:wp14="http://schemas.microsoft.com/office/word/2010/wordml" w:rsidP="32869021" wp14:paraId="3B551F36" wp14:textId="33D0F087">
      <w:pPr>
        <w:pStyle w:val="ListParagraph"/>
        <w:numPr>
          <w:ilvl w:val="0"/>
          <w:numId w:val="1"/>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Ensure that the voices and needs of children and young people are heard - encouraging their voice in service design and delivery</w:t>
      </w:r>
    </w:p>
    <w:p xmlns:wp14="http://schemas.microsoft.com/office/word/2010/wordml" w:rsidP="32869021" wp14:paraId="7EBDCA98" wp14:textId="0E533094">
      <w:pPr>
        <w:pStyle w:val="ListParagraph"/>
        <w:numPr>
          <w:ilvl w:val="0"/>
          <w:numId w:val="1"/>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families to develop problem-solving skills, build protective factors, and reduce long-term dependency on services – including timely exit from support </w:t>
      </w:r>
    </w:p>
    <w:p xmlns:wp14="http://schemas.microsoft.com/office/word/2010/wordml" w:rsidP="32869021" wp14:paraId="64E75D4E" wp14:textId="78FE2ED8">
      <w:p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45F8967F" wp14:textId="2C2619D1">
      <w:p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US"/>
        </w:rPr>
        <w:t>Team</w:t>
      </w:r>
    </w:p>
    <w:p xmlns:wp14="http://schemas.microsoft.com/office/word/2010/wordml" w:rsidP="32869021" wp14:paraId="05558E93" wp14:textId="279B93F9">
      <w:p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0B77924F" wp14:textId="4317B5F1">
      <w:pPr>
        <w:pStyle w:val="ListParagraph"/>
        <w:numPr>
          <w:ilvl w:val="0"/>
          <w:numId w:val="2"/>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To communicate proactively with your team and line manager</w:t>
      </w:r>
    </w:p>
    <w:p xmlns:wp14="http://schemas.microsoft.com/office/word/2010/wordml" w:rsidP="32869021" wp14:paraId="6AEDBFAC" wp14:textId="50EE1FE3">
      <w:pPr>
        <w:pStyle w:val="ListParagraph"/>
        <w:numPr>
          <w:ilvl w:val="0"/>
          <w:numId w:val="2"/>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To support other staff, students and volunteers in their roles</w:t>
      </w:r>
    </w:p>
    <w:p xmlns:wp14="http://schemas.microsoft.com/office/word/2010/wordml" w:rsidP="32869021" wp14:paraId="76210F21" wp14:textId="35AEC099">
      <w:pPr>
        <w:pStyle w:val="ListParagraph"/>
        <w:numPr>
          <w:ilvl w:val="0"/>
          <w:numId w:val="2"/>
        </w:num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US"/>
        </w:rPr>
        <w:t>To have an excellent understanding of the work across all Leeds GATE teams and be able to confidently explain and refer into these, ensuring members receive the full benefit of our offer</w:t>
      </w:r>
    </w:p>
    <w:p xmlns:wp14="http://schemas.microsoft.com/office/word/2010/wordml" w:rsidP="32869021" wp14:paraId="4DF86E6D" wp14:textId="71ADF402">
      <w:pPr>
        <w:bidi w:val="0"/>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14C7A9FC" wp14:textId="14F13A53">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1EC9A515" wp14:textId="6FBC03E5">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US"/>
        </w:rPr>
        <w:t>Fundraising and Budget Management</w:t>
      </w:r>
    </w:p>
    <w:p xmlns:wp14="http://schemas.microsoft.com/office/word/2010/wordml" w:rsidP="32869021" wp14:paraId="79AB2315" wp14:textId="37C22BB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360"/>
      </w:tblGrid>
      <w:tr w:rsidR="32869021" w:rsidTr="32869021" w14:paraId="3F2400CE">
        <w:trPr>
          <w:trHeight w:val="255"/>
        </w:trPr>
        <w:tc>
          <w:tcPr>
            <w:tcW w:w="9360" w:type="dxa"/>
            <w:tcMar>
              <w:left w:w="105" w:type="dxa"/>
              <w:right w:w="105" w:type="dxa"/>
            </w:tcMar>
            <w:vAlign w:val="bottom"/>
          </w:tcPr>
          <w:p w:rsidR="32869021" w:rsidP="32869021" w:rsidRDefault="32869021" w14:paraId="560C80FC" w14:textId="559457DC">
            <w:pPr>
              <w:pStyle w:val="ListParagraph"/>
              <w:numPr>
                <w:ilvl w:val="0"/>
                <w:numId w:val="3"/>
              </w:numPr>
              <w:bidi w:val="0"/>
              <w:spacing w:after="0" w:line="240" w:lineRule="auto"/>
              <w:jc w:val="both"/>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follow all financial processes of the organisation</w:t>
            </w:r>
          </w:p>
        </w:tc>
      </w:tr>
      <w:tr w:rsidR="32869021" w:rsidTr="32869021" w14:paraId="504CDFBB">
        <w:trPr>
          <w:trHeight w:val="255"/>
        </w:trPr>
        <w:tc>
          <w:tcPr>
            <w:tcW w:w="9360" w:type="dxa"/>
            <w:tcMar>
              <w:left w:w="105" w:type="dxa"/>
              <w:right w:w="105" w:type="dxa"/>
            </w:tcMar>
            <w:vAlign w:val="bottom"/>
          </w:tcPr>
          <w:p w:rsidR="32869021" w:rsidP="32869021" w:rsidRDefault="32869021" w14:paraId="0FBBED67" w14:textId="40281E12">
            <w:pPr>
              <w:pStyle w:val="ListParagraph"/>
              <w:numPr>
                <w:ilvl w:val="0"/>
                <w:numId w:val="3"/>
              </w:numPr>
              <w:bidi w:val="0"/>
              <w:spacing w:after="0" w:line="240" w:lineRule="auto"/>
              <w:jc w:val="both"/>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 xml:space="preserve">As requested, to contribute evidence in support of fundraising </w:t>
            </w:r>
          </w:p>
        </w:tc>
      </w:tr>
    </w:tbl>
    <w:p xmlns:wp14="http://schemas.microsoft.com/office/word/2010/wordml" w:rsidP="32869021" wp14:paraId="5B8B8445" wp14:textId="7CB37912">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017E19A4" wp14:textId="74A29E34">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Project Management</w:t>
      </w:r>
    </w:p>
    <w:p xmlns:wp14="http://schemas.microsoft.com/office/word/2010/wordml" w:rsidP="32869021" wp14:paraId="5386ECAA" wp14:textId="55939FB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360"/>
      </w:tblGrid>
      <w:tr w:rsidR="32869021" w:rsidTr="32869021" w14:paraId="1FA911D7">
        <w:trPr>
          <w:trHeight w:val="330"/>
        </w:trPr>
        <w:tc>
          <w:tcPr>
            <w:tcW w:w="9360" w:type="dxa"/>
            <w:tcMar>
              <w:left w:w="105" w:type="dxa"/>
              <w:right w:w="105" w:type="dxa"/>
            </w:tcMar>
            <w:vAlign w:val="bottom"/>
          </w:tcPr>
          <w:p w:rsidR="32869021" w:rsidP="32869021" w:rsidRDefault="32869021" w14:paraId="23DEE9F5" w14:textId="78C122DB">
            <w:pPr>
              <w:pStyle w:val="ListParagraph"/>
              <w:numPr>
                <w:ilvl w:val="0"/>
                <w:numId w:val="3"/>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keep accurate records of your work, in line with processes and funder requirements</w:t>
            </w:r>
          </w:p>
          <w:p w:rsidR="32869021" w:rsidP="32869021" w:rsidRDefault="32869021" w14:paraId="6ECDCFA1" w14:textId="3F04FA19">
            <w:pPr>
              <w:pStyle w:val="ListParagraph"/>
              <w:numPr>
                <w:ilvl w:val="0"/>
                <w:numId w:val="3"/>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 xml:space="preserve">To contribute to reports as requested, on time and to a good standard </w:t>
            </w:r>
          </w:p>
        </w:tc>
      </w:tr>
      <w:tr w:rsidR="32869021" w:rsidTr="32869021" w14:paraId="517313A4">
        <w:trPr>
          <w:trHeight w:val="300"/>
        </w:trPr>
        <w:tc>
          <w:tcPr>
            <w:tcW w:w="9360" w:type="dxa"/>
            <w:tcMar>
              <w:left w:w="105" w:type="dxa"/>
              <w:right w:w="105" w:type="dxa"/>
            </w:tcMar>
            <w:vAlign w:val="center"/>
          </w:tcPr>
          <w:p w:rsidR="32869021" w:rsidP="32869021" w:rsidRDefault="32869021" w14:paraId="0648A31F" w14:textId="4085B703">
            <w:pPr>
              <w:pStyle w:val="ListParagraph"/>
              <w:numPr>
                <w:ilvl w:val="0"/>
                <w:numId w:val="3"/>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manage your own work diary and display good time keeping</w:t>
            </w:r>
          </w:p>
          <w:p w:rsidR="32869021" w:rsidP="32869021" w:rsidRDefault="32869021" w14:paraId="356793B9" w14:textId="3ED00476">
            <w:pPr>
              <w:pStyle w:val="ListParagraph"/>
              <w:numPr>
                <w:ilvl w:val="0"/>
                <w:numId w:val="3"/>
              </w:numPr>
              <w:bidi w:val="0"/>
              <w:spacing w:before="0" w:beforeAutospacing="off" w:after="0" w:afterAutospacing="off" w:line="276" w:lineRule="auto"/>
              <w:ind w:right="2430"/>
              <w:jc w:val="both"/>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US"/>
              </w:rPr>
              <w:t>To contribute to and work to a delivery plan</w:t>
            </w:r>
          </w:p>
          <w:p w:rsidR="32869021" w:rsidP="32869021" w:rsidRDefault="32869021" w14:paraId="55CF8FAD" w14:textId="06D5E623">
            <w:pPr>
              <w:bidi w:val="0"/>
              <w:spacing w:after="0" w:line="240" w:lineRule="auto"/>
              <w:ind w:left="72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32869021" wp14:paraId="0E24EAC5" wp14:textId="64ADA4E4">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2C309161" wp14:textId="2F5EE0E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Risk Management, Safeguarding, Quality</w:t>
      </w:r>
    </w:p>
    <w:p xmlns:wp14="http://schemas.microsoft.com/office/word/2010/wordml" w:rsidP="32869021" wp14:paraId="0C26AE35" wp14:textId="56F53569">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360"/>
      </w:tblGrid>
      <w:tr w:rsidR="32869021" w:rsidTr="32869021" w14:paraId="16BE3FFD">
        <w:trPr>
          <w:trHeight w:val="300"/>
        </w:trPr>
        <w:tc>
          <w:tcPr>
            <w:tcW w:w="9360" w:type="dxa"/>
            <w:tcMar>
              <w:left w:w="105" w:type="dxa"/>
              <w:right w:w="105" w:type="dxa"/>
            </w:tcMar>
            <w:vAlign w:val="bottom"/>
          </w:tcPr>
          <w:p w:rsidR="32869021" w:rsidP="32869021" w:rsidRDefault="32869021" w14:paraId="18453155" w14:textId="7E0E0F34">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 xml:space="preserve">To confidently respond to safeguarding concerns in line with safeguarding procedures of </w:t>
            </w:r>
          </w:p>
          <w:p w:rsidR="32869021" w:rsidP="32869021" w:rsidRDefault="32869021" w14:paraId="7D75D859" w14:textId="43567DE3">
            <w:pPr>
              <w:bidi w:val="0"/>
              <w:spacing w:after="0" w:line="240" w:lineRule="auto"/>
              <w:ind w:left="720"/>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the organisation</w:t>
            </w:r>
          </w:p>
        </w:tc>
      </w:tr>
      <w:tr w:rsidR="32869021" w:rsidTr="32869021" w14:paraId="36DBF404">
        <w:trPr>
          <w:trHeight w:val="255"/>
        </w:trPr>
        <w:tc>
          <w:tcPr>
            <w:tcW w:w="9360" w:type="dxa"/>
            <w:tcMar>
              <w:left w:w="105" w:type="dxa"/>
              <w:right w:w="105" w:type="dxa"/>
            </w:tcMar>
            <w:vAlign w:val="bottom"/>
          </w:tcPr>
          <w:p w:rsidR="32869021" w:rsidP="32869021" w:rsidRDefault="32869021" w14:paraId="77CAA53F" w14:textId="460B1D83">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complete all mandatory training and personal development</w:t>
            </w:r>
          </w:p>
          <w:p w:rsidR="32869021" w:rsidP="32869021" w:rsidRDefault="32869021" w14:paraId="426B771C" w14:textId="4D535283">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ensure strict confidentiality for those accessing our services</w:t>
            </w:r>
          </w:p>
        </w:tc>
      </w:tr>
      <w:tr w:rsidR="32869021" w:rsidTr="32869021" w14:paraId="0271C43C">
        <w:trPr>
          <w:trHeight w:val="255"/>
        </w:trPr>
        <w:tc>
          <w:tcPr>
            <w:tcW w:w="9360" w:type="dxa"/>
            <w:tcMar>
              <w:left w:w="105" w:type="dxa"/>
              <w:right w:w="105" w:type="dxa"/>
            </w:tcMar>
            <w:vAlign w:val="bottom"/>
          </w:tcPr>
          <w:p w:rsidR="32869021" w:rsidP="32869021" w:rsidRDefault="32869021" w14:paraId="6684A365" w14:textId="496CCD12">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follow quality assurance processes as directed</w:t>
            </w:r>
          </w:p>
        </w:tc>
      </w:tr>
      <w:tr w:rsidR="32869021" w:rsidTr="32869021" w14:paraId="004455A9">
        <w:trPr>
          <w:trHeight w:val="255"/>
        </w:trPr>
        <w:tc>
          <w:tcPr>
            <w:tcW w:w="9360" w:type="dxa"/>
            <w:tcMar>
              <w:left w:w="105" w:type="dxa"/>
              <w:right w:w="105" w:type="dxa"/>
            </w:tcMar>
            <w:vAlign w:val="bottom"/>
          </w:tcPr>
          <w:p w:rsidR="32869021" w:rsidP="32869021" w:rsidRDefault="32869021" w14:paraId="7E944A88" w14:textId="04BB6FF3">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follow our lone worker policy</w:t>
            </w:r>
          </w:p>
          <w:p w:rsidR="32869021" w:rsidP="32869021" w:rsidRDefault="32869021" w14:paraId="48289B5E" w14:textId="73EC4D7C">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follow all organisational risk assessments and incident reporting</w:t>
            </w:r>
          </w:p>
          <w:p w:rsidR="32869021" w:rsidP="32869021" w:rsidRDefault="32869021" w14:paraId="57D1B996" w14:textId="52EDCF4A">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produce risk assessments for sessions and individuals as required</w:t>
            </w:r>
          </w:p>
        </w:tc>
      </w:tr>
    </w:tbl>
    <w:p xmlns:wp14="http://schemas.microsoft.com/office/word/2010/wordml" w:rsidP="32869021" wp14:paraId="03D6369B" wp14:textId="3869CBD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45EE4858" wp14:textId="0B9AA80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US"/>
        </w:rPr>
        <w:t>Partnerships, Strategy and Policy</w:t>
      </w:r>
    </w:p>
    <w:p xmlns:wp14="http://schemas.microsoft.com/office/word/2010/wordml" w:rsidP="32869021" wp14:paraId="3AD9E439" wp14:textId="146337FA">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360"/>
      </w:tblGrid>
      <w:tr w:rsidR="32869021" w:rsidTr="32869021" w14:paraId="0C53855F">
        <w:trPr>
          <w:trHeight w:val="255"/>
        </w:trPr>
        <w:tc>
          <w:tcPr>
            <w:tcW w:w="9360" w:type="dxa"/>
            <w:tcMar>
              <w:left w:w="105" w:type="dxa"/>
              <w:right w:w="105" w:type="dxa"/>
            </w:tcMar>
            <w:vAlign w:val="top"/>
          </w:tcPr>
          <w:p w:rsidR="32869021" w:rsidP="32869021" w:rsidRDefault="32869021" w14:paraId="4DC8D364" w14:textId="5CD2DCE2">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maintain and develop partnerships in support of a wide offer to our members</w:t>
            </w:r>
          </w:p>
          <w:p w:rsidR="32869021" w:rsidP="32869021" w:rsidRDefault="32869021" w14:paraId="348EB23E" w14:textId="4D834A6F">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To work as directed on campaigns, research, speaking and training</w:t>
            </w:r>
          </w:p>
          <w:p w:rsidR="32869021" w:rsidP="32869021" w:rsidRDefault="32869021" w14:paraId="02069982" w14:textId="603A7D9D">
            <w:pPr>
              <w:pStyle w:val="ListParagraph"/>
              <w:numPr>
                <w:ilvl w:val="0"/>
                <w:numId w:val="4"/>
              </w:numPr>
              <w:bidi w:val="0"/>
              <w:spacing w:after="0" w:line="240" w:lineRule="auto"/>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 xml:space="preserve">To support our members to participate in conversations about decisions that impact them, </w:t>
            </w:r>
          </w:p>
          <w:p w:rsidR="32869021" w:rsidP="32869021" w:rsidRDefault="32869021" w14:paraId="34344DB2" w14:textId="25E8B64E">
            <w:pPr>
              <w:bidi w:val="0"/>
              <w:spacing w:after="0" w:line="240" w:lineRule="auto"/>
              <w:ind w:left="720"/>
              <w:rPr>
                <w:rFonts w:ascii="Calibri" w:hAnsi="Calibri" w:eastAsia="Calibri" w:cs="Calibri"/>
                <w:b w:val="0"/>
                <w:bCs w:val="0"/>
                <w:i w:val="0"/>
                <w:iCs w:val="0"/>
                <w:color w:val="000000" w:themeColor="text1" w:themeTint="FF" w:themeShade="FF"/>
                <w:sz w:val="24"/>
                <w:szCs w:val="24"/>
              </w:rPr>
            </w:pPr>
            <w:r w:rsidRPr="32869021" w:rsidR="32869021">
              <w:rPr>
                <w:rFonts w:ascii="Calibri" w:hAnsi="Calibri" w:eastAsia="Calibri" w:cs="Calibri"/>
                <w:b w:val="0"/>
                <w:bCs w:val="0"/>
                <w:i w:val="0"/>
                <w:iCs w:val="0"/>
                <w:color w:val="000000" w:themeColor="text1" w:themeTint="FF" w:themeShade="FF"/>
                <w:sz w:val="24"/>
                <w:szCs w:val="24"/>
                <w:lang w:val="en-GB"/>
              </w:rPr>
              <w:t>both inside and outside of the organisation</w:t>
            </w:r>
          </w:p>
        </w:tc>
      </w:tr>
      <w:tr w:rsidR="32869021" w:rsidTr="32869021" w14:paraId="3E78E8D2">
        <w:trPr>
          <w:trHeight w:val="255"/>
        </w:trPr>
        <w:tc>
          <w:tcPr>
            <w:tcW w:w="9360" w:type="dxa"/>
            <w:tcMar>
              <w:left w:w="105" w:type="dxa"/>
              <w:right w:w="105" w:type="dxa"/>
            </w:tcMar>
            <w:vAlign w:val="bottom"/>
          </w:tcPr>
          <w:p w:rsidR="32869021" w:rsidP="32869021" w:rsidRDefault="32869021" w14:paraId="708B84A2" w14:textId="2386A5B2">
            <w:pPr>
              <w:bidi w:val="0"/>
              <w:spacing w:after="0" w:line="240" w:lineRule="auto"/>
              <w:ind w:left="0"/>
              <w:rPr>
                <w:rFonts w:ascii="Calibri" w:hAnsi="Calibri" w:eastAsia="Calibri" w:cs="Calibri"/>
                <w:b w:val="0"/>
                <w:bCs w:val="0"/>
                <w:i w:val="0"/>
                <w:iCs w:val="0"/>
                <w:sz w:val="24"/>
                <w:szCs w:val="24"/>
              </w:rPr>
            </w:pPr>
          </w:p>
        </w:tc>
      </w:tr>
    </w:tbl>
    <w:p xmlns:wp14="http://schemas.microsoft.com/office/word/2010/wordml" w:rsidP="32869021" wp14:paraId="26A1AF8B" wp14:textId="2F1B8A74">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General Responsibilities</w:t>
      </w:r>
    </w:p>
    <w:p xmlns:wp14="http://schemas.microsoft.com/office/word/2010/wordml" w:rsidP="32869021" wp14:paraId="27C2B1CB" wp14:textId="6929934B">
      <w:pPr>
        <w:bidi w:val="0"/>
        <w:spacing w:after="0" w:line="240" w:lineRule="auto"/>
        <w:contextualSpacing w:val="1"/>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2869021" wp14:paraId="135CED04" wp14:textId="7D145512">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be willing to work outside of office hours when required</w:t>
      </w:r>
    </w:p>
    <w:p xmlns:wp14="http://schemas.microsoft.com/office/word/2010/wordml" w:rsidP="32869021" wp14:paraId="62170B37" wp14:textId="6EBA79D5">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be willing and able to travel when required, including occasional overnight trips away</w:t>
      </w:r>
    </w:p>
    <w:p xmlns:wp14="http://schemas.microsoft.com/office/word/2010/wordml" w:rsidP="32869021" wp14:paraId="79478C1C" wp14:textId="427F91AE">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attend all relevant staff team and other meetings as required and produce reports as requested</w:t>
      </w:r>
    </w:p>
    <w:p xmlns:wp14="http://schemas.microsoft.com/office/word/2010/wordml" w:rsidP="32869021" wp14:paraId="0D36984E" wp14:textId="5B51FBAB">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prepare for and participate in regular supervision meetings</w:t>
      </w:r>
    </w:p>
    <w:p xmlns:wp14="http://schemas.microsoft.com/office/word/2010/wordml" w:rsidP="32869021" wp14:paraId="61EFBE89" wp14:textId="0955A8EF">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act in accordance with all Leeds GATE policies, guidelines and terms of employment  </w:t>
      </w:r>
    </w:p>
    <w:p xmlns:wp14="http://schemas.microsoft.com/office/word/2010/wordml" w:rsidP="32869021" wp14:paraId="346D5890" wp14:textId="1F0372A8">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ensure Leeds GATE Values in all activity </w:t>
      </w:r>
    </w:p>
    <w:p xmlns:wp14="http://schemas.microsoft.com/office/word/2010/wordml" w:rsidP="32869021" wp14:paraId="4B6A473C" wp14:textId="18C59969">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undertake appropriate training and personal development programmes</w:t>
      </w:r>
    </w:p>
    <w:p xmlns:wp14="http://schemas.microsoft.com/office/word/2010/wordml" w:rsidP="32869021" wp14:paraId="7582C2CE" wp14:textId="57A6FC70">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contribute to the effective running of the organisation through supporting welcome within the office and supporting GATE events and activities as required</w:t>
      </w:r>
    </w:p>
    <w:p xmlns:wp14="http://schemas.microsoft.com/office/word/2010/wordml" w:rsidP="32869021" wp14:paraId="6D053DEB" wp14:textId="0F53281D">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Use an Asset Based approach, working from people’s strengths</w:t>
      </w:r>
    </w:p>
    <w:p xmlns:wp14="http://schemas.microsoft.com/office/word/2010/wordml" w:rsidP="32869021" wp14:paraId="073C63F1" wp14:textId="4887DB04">
      <w:pPr>
        <w:pStyle w:val="ListParagraph"/>
        <w:numPr>
          <w:ilvl w:val="0"/>
          <w:numId w:val="5"/>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challenge racism and stigma through your work </w:t>
      </w:r>
    </w:p>
    <w:p xmlns:wp14="http://schemas.microsoft.com/office/word/2010/wordml" w:rsidP="32869021" wp14:paraId="62CB5545" wp14:textId="183AFE7F">
      <w:pPr>
        <w:pStyle w:val="ListParagraph"/>
        <w:numPr>
          <w:ilvl w:val="0"/>
          <w:numId w:val="5"/>
        </w:numPr>
        <w:shd w:val="clear" w:color="auto" w:fill="FFFFFF" w:themeFill="background1"/>
        <w:bidi w:val="0"/>
        <w:spacing w:before="220" w:beforeAutospacing="off" w:after="22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0"/>
          <w:bCs w:val="0"/>
          <w:i w:val="0"/>
          <w:iCs w:val="0"/>
          <w:caps w:val="0"/>
          <w:smallCaps w:val="0"/>
          <w:noProof w:val="0"/>
          <w:color w:val="000000" w:themeColor="text1" w:themeTint="FF" w:themeShade="FF"/>
          <w:sz w:val="24"/>
          <w:szCs w:val="24"/>
          <w:lang w:val="en-GB"/>
        </w:rPr>
        <w:t>To undertake any other duties appropriate to the post as required</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3690"/>
        <w:gridCol w:w="3645"/>
      </w:tblGrid>
      <w:tr w:rsidR="32869021" w:rsidTr="32869021" w14:paraId="3E7027A8">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122AC938" w14:textId="3D97EF68">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Person Specification</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07C6E8E3" w14:textId="47D302BE">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 xml:space="preserve">Essential </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2CB1D782" w14:textId="76260C35">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 xml:space="preserve">Desirable </w:t>
            </w:r>
          </w:p>
        </w:tc>
      </w:tr>
      <w:tr w:rsidR="32869021" w:rsidTr="32869021" w14:paraId="4C82112F">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FBBF89B" w14:textId="52F142A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Qualifications</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EEA8567" w14:textId="4AD68978">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Maths, English and IT skills sufficient for the role including skills to use case management systems, web-based communications and writing simple reports </w:t>
            </w:r>
          </w:p>
          <w:p w:rsidR="32869021" w:rsidP="32869021" w:rsidRDefault="32869021" w14:paraId="790380FF" w14:textId="40BAFC30">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 </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1578B580" w14:textId="378DD9EE">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 recognised qualification in relation to working with children and young people or something relevant to this line of work.</w:t>
            </w:r>
          </w:p>
          <w:p w:rsidR="32869021" w:rsidP="32869021" w:rsidRDefault="32869021" w14:paraId="2B853975" w14:textId="6F536E85">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7FC2FF1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3B3A3460" w14:textId="078B3441">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Experience</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6A435773" w14:textId="36DCC01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Experience of working with children and/or young people who are/have experienced trauma.</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7CE06FC" w14:textId="7CD7E9FC">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Experience of working in partnership with other agencies/Services</w:t>
            </w:r>
          </w:p>
          <w:p w:rsidR="32869021" w:rsidP="32869021" w:rsidRDefault="32869021" w14:paraId="23B634F3" w14:textId="5080A7F9">
            <w:pPr>
              <w:bidi w:val="0"/>
              <w:spacing w:after="0" w:line="240" w:lineRule="auto"/>
              <w:rPr>
                <w:rFonts w:ascii="Calibri" w:hAnsi="Calibri" w:eastAsia="Calibri" w:cs="Calibri"/>
                <w:b w:val="0"/>
                <w:bCs w:val="0"/>
                <w:i w:val="0"/>
                <w:iCs w:val="0"/>
                <w:color w:val="242424"/>
                <w:sz w:val="24"/>
                <w:szCs w:val="24"/>
                <w:lang w:val="en-US"/>
              </w:rPr>
            </w:pPr>
          </w:p>
        </w:tc>
      </w:tr>
      <w:tr w:rsidR="32869021" w:rsidTr="32869021" w14:paraId="252FD01D">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5398A5E6" w14:textId="75D5A046">
            <w:pPr>
              <w:bidi w:val="0"/>
              <w:spacing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66B1501A" w14:textId="0CC9F499">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Experience of and writing reports for example for monitoring and evaluation purposes.</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562723DE" w14:textId="123E2B9F">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Experience of working with Gypsy and Traveller communities or other marginalised groups</w:t>
            </w:r>
          </w:p>
          <w:p w:rsidR="32869021" w:rsidP="32869021" w:rsidRDefault="32869021" w14:paraId="38F9FA64" w14:textId="3087EFB5">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14DCD5E1">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22F452B" w14:textId="6A00D8FC">
            <w:pPr>
              <w:bidi w:val="0"/>
              <w:spacing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6CE0F6BB" w14:textId="70CF852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 xml:space="preserve">Experience of recording information in a fact based and timely manner </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617E89B" w14:textId="2271293A">
            <w:pPr>
              <w:bidi w:val="0"/>
              <w:spacing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Managing a case load to agreed targets &amp; timescales </w:t>
            </w:r>
          </w:p>
          <w:p w:rsidR="32869021" w:rsidP="32869021" w:rsidRDefault="32869021" w14:paraId="3C876F2E" w14:textId="5E52922B">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31E6F280">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4FDD62AF" w14:textId="7BC9184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3F67062B" w14:textId="7E4E04BC">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Experience of working in a support-based role and building long lasting and trusting relationships.</w:t>
            </w:r>
          </w:p>
          <w:p w:rsidR="32869021" w:rsidP="32869021" w:rsidRDefault="32869021" w14:paraId="74A29320" w14:textId="70B4697F">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CB061C4" w14:textId="43B66923">
            <w:pPr>
              <w:bidi w:val="0"/>
              <w:spacing w:line="240" w:lineRule="auto"/>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Experience working in the charity or not-for-profit sector.</w:t>
            </w:r>
          </w:p>
          <w:p w:rsidR="32869021" w:rsidP="32869021" w:rsidRDefault="32869021" w14:paraId="48B58870" w14:textId="1843B015">
            <w:pPr>
              <w:bidi w:val="0"/>
              <w:spacing w:after="0" w:line="240" w:lineRule="auto"/>
              <w:rPr>
                <w:rFonts w:ascii="Calibri" w:hAnsi="Calibri" w:eastAsia="Calibri" w:cs="Calibri"/>
                <w:b w:val="0"/>
                <w:bCs w:val="0"/>
                <w:i w:val="0"/>
                <w:iCs w:val="0"/>
                <w:color w:val="242424"/>
                <w:sz w:val="24"/>
                <w:szCs w:val="24"/>
                <w:lang w:val="en-US"/>
              </w:rPr>
            </w:pPr>
          </w:p>
        </w:tc>
      </w:tr>
      <w:tr w:rsidR="32869021" w:rsidTr="32869021" w14:paraId="10E144B6">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1FEE91A8" w14:textId="4FC05E0A">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 xml:space="preserve">Knowledge </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5F1775AA" w14:textId="552E7D90">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769C273" w14:textId="05C2C5CA">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2491807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BCF067A" w14:textId="6EE89C04">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3B5D3F49" w14:textId="1A0F262C">
            <w:pPr>
              <w:bidi w:val="0"/>
              <w:spacing w:after="0" w:line="240" w:lineRule="auto"/>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Knowledge and understanding of the issues facing Gypsy and Traveller communities, including the impacts of racism, discrimination, and inequality.</w:t>
            </w:r>
          </w:p>
          <w:p w:rsidR="32869021" w:rsidP="32869021" w:rsidRDefault="32869021" w14:paraId="50098E2B" w14:textId="15010CBB">
            <w:pPr>
              <w:bidi w:val="0"/>
              <w:spacing w:after="0" w:line="240" w:lineRule="auto"/>
              <w:rPr>
                <w:rFonts w:ascii="Calibri" w:hAnsi="Calibri" w:eastAsia="Calibri" w:cs="Calibri"/>
                <w:b w:val="0"/>
                <w:bCs w:val="0"/>
                <w:i w:val="0"/>
                <w:iCs w:val="0"/>
                <w:color w:val="242424"/>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67D3B58" w14:textId="422C92BA">
            <w:pPr>
              <w:bidi w:val="0"/>
              <w:spacing w:after="0" w:line="240" w:lineRule="auto"/>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 xml:space="preserve">Awareness of relevant and various health service, education and children’s services and activities </w:t>
            </w:r>
            <w:r w:rsidRPr="32869021" w:rsidR="32869021">
              <w:rPr>
                <w:rFonts w:ascii="Calibri" w:hAnsi="Calibri" w:eastAsia="Calibri" w:cs="Calibri"/>
                <w:b w:val="0"/>
                <w:bCs w:val="0"/>
                <w:i w:val="0"/>
                <w:iCs w:val="0"/>
                <w:color w:val="242424"/>
                <w:sz w:val="24"/>
                <w:szCs w:val="24"/>
                <w:lang w:val="en-US"/>
              </w:rPr>
              <w:t>in Bradford</w:t>
            </w:r>
          </w:p>
          <w:p w:rsidR="32869021" w:rsidP="32869021" w:rsidRDefault="32869021" w14:paraId="01A2CA3F" w14:textId="467DFDF6">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45C4608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3A5C409E" w14:textId="0CA00304">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757BD777" w14:textId="22E7F997">
            <w:pPr>
              <w:bidi w:val="0"/>
              <w:spacing w:after="0" w:line="240" w:lineRule="auto"/>
              <w:rPr>
                <w:rFonts w:ascii="Calibri" w:hAnsi="Calibri" w:eastAsia="Calibri" w:cs="Calibri"/>
                <w:b w:val="0"/>
                <w:bCs w:val="0"/>
                <w:i w:val="0"/>
                <w:iCs w:val="0"/>
                <w:color w:val="242424"/>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2FBB8A0C" w14:textId="11C92839">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 xml:space="preserve">Understanding of Adverse Childhood Experiences and of trauma informed practice. </w:t>
            </w:r>
          </w:p>
          <w:p w:rsidR="32869021" w:rsidP="32869021" w:rsidRDefault="32869021" w14:paraId="32FC83C1" w14:textId="7C6543E9">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7B996233">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37B60FED" w14:textId="142E636B">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 xml:space="preserve">Skills </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9686BAC" w14:textId="4B1C5AF1">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298F7A98" w14:textId="5C81DD30">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68EF66A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52B91F0E" w14:textId="45AB7AB8">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790F98A" w14:textId="1CA61FD6">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 xml:space="preserve">Confident and able to liaise and negotiate with partners and be able to advocate and challenge where appropriate to get the best outcome for members. </w:t>
            </w:r>
          </w:p>
          <w:p w:rsidR="32869021" w:rsidP="32869021" w:rsidRDefault="32869021" w14:paraId="76A8BABA" w14:textId="455EA970">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61BA1349" w14:textId="54F1779E">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IT skills, with the ability to use relevant software and systems</w:t>
            </w:r>
          </w:p>
          <w:p w:rsidR="32869021" w:rsidP="32869021" w:rsidRDefault="32869021" w14:paraId="5B3D91F7" w14:textId="52237013">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492C7DC8">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4FA41009" w14:textId="1D345648">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6EBDB35A" w14:textId="1794EAB5">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Able to develop knowledge and understanding of safeguarding policies and procedure.</w:t>
            </w:r>
          </w:p>
          <w:p w:rsidR="32869021" w:rsidP="32869021" w:rsidRDefault="32869021" w14:paraId="45988646" w14:textId="72834C8C">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3F8F9BC5" w14:textId="644D0E3B">
            <w:pPr>
              <w:bidi w:val="0"/>
              <w:spacing w:before="0" w:beforeAutospacing="off" w:after="0" w:afterAutospacing="off"/>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Ability to liaise and negotiate with service providers</w:t>
            </w:r>
          </w:p>
          <w:p w:rsidR="32869021" w:rsidP="32869021" w:rsidRDefault="32869021" w14:paraId="1DCEB9B9" w14:textId="26F75217">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67BC0515">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5C093579" w14:textId="7F1FDA9C">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0C5844E4" w14:textId="3D2829CE">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Excellent organisational and administrative skills - able to manage diaries and plan activities.</w:t>
            </w:r>
          </w:p>
          <w:p w:rsidR="32869021" w:rsidP="32869021" w:rsidRDefault="32869021" w14:paraId="3ADF456A" w14:textId="5AFB86D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59E67D34" w14:textId="230B0397">
            <w:pPr>
              <w:bidi w:val="0"/>
              <w:spacing w:before="0" w:beforeAutospacing="off" w:after="0" w:afterAutospacing="off"/>
              <w:rPr>
                <w:rFonts w:ascii="Calibri" w:hAnsi="Calibri" w:eastAsia="Calibri" w:cs="Calibri"/>
                <w:b w:val="0"/>
                <w:bCs w:val="0"/>
                <w:i w:val="0"/>
                <w:iCs w:val="0"/>
                <w:color w:val="242424"/>
                <w:sz w:val="24"/>
                <w:szCs w:val="24"/>
                <w:lang w:val="en-US"/>
              </w:rPr>
            </w:pPr>
          </w:p>
        </w:tc>
      </w:tr>
      <w:tr w:rsidR="32869021" w:rsidTr="32869021" w14:paraId="149E69EC">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611F17CE" w14:textId="2B22B6C9">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69DE9F2" w14:textId="4C9C1630">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Able to work well in a team.</w:t>
            </w:r>
          </w:p>
          <w:p w:rsidR="32869021" w:rsidP="32869021" w:rsidRDefault="32869021" w14:paraId="5CF75ACC" w14:textId="5DFD0017">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07880DEC" w14:textId="792A533E">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560DD40D">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558D7EF7" w14:textId="71AB5BFA">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CAA0EFD" w14:textId="682EACF7">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Able to assess risk and fill in risk assessments.</w:t>
            </w:r>
          </w:p>
          <w:p w:rsidR="32869021" w:rsidP="32869021" w:rsidRDefault="32869021" w14:paraId="201462A9" w14:textId="00139405">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5D9319DC" w14:textId="2F60DB34">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70DEF22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42F5122D" w14:textId="38492BF1">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0F8A940" w14:textId="4EF0D005">
            <w:pPr>
              <w:bidi w:val="0"/>
              <w:spacing w:after="0" w:afterAutospacing="off"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Ability to travel as required for the role. Driver with access to vehicle preferred.</w:t>
            </w:r>
          </w:p>
          <w:p w:rsidR="32869021" w:rsidP="32869021" w:rsidRDefault="32869021" w14:paraId="6612289D" w14:textId="552B641E">
            <w:pPr>
              <w:bidi w:val="0"/>
              <w:spacing w:after="0" w:afterAutospacing="off"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5E158B49" w14:textId="631C6528">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23F6ED2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674F8413" w14:textId="4D2B846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4A76FBE" w14:textId="15ABEAAB">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Creative and flexible approach to working with families and having solution focussed approach.</w:t>
            </w:r>
          </w:p>
          <w:p w:rsidR="32869021" w:rsidP="32869021" w:rsidRDefault="32869021" w14:paraId="382B0D4B" w14:textId="64D80D0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45FB386A" w14:textId="73F0FC5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6AFFA66F">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4AA272A" w14:textId="2EC3695A">
            <w:pPr>
              <w:bidi w:val="0"/>
              <w:spacing w:line="240" w:lineRule="auto"/>
              <w:rPr>
                <w:rFonts w:ascii="Calibri" w:hAnsi="Calibri" w:eastAsia="Calibri" w:cs="Calibri"/>
                <w:b w:val="0"/>
                <w:bCs w:val="0"/>
                <w:i w:val="0"/>
                <w:iCs w:val="0"/>
                <w:color w:val="000000" w:themeColor="text1" w:themeTint="FF" w:themeShade="FF"/>
                <w:sz w:val="24"/>
                <w:szCs w:val="24"/>
                <w:lang w:val="en-GB"/>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B9CB57E" w14:textId="1AB6A369">
            <w:pPr>
              <w:bidi w:val="0"/>
              <w:spacing w:before="0" w:beforeAutospacing="off" w:after="0" w:afterAutospacing="off"/>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Able to engage and involve our members in all aspects of your work.</w:t>
            </w:r>
          </w:p>
          <w:p w:rsidR="32869021" w:rsidP="32869021" w:rsidRDefault="32869021" w14:paraId="1731B408" w14:textId="1DB95FBB">
            <w:pPr>
              <w:bidi w:val="0"/>
              <w:spacing w:before="0" w:beforeAutospacing="off" w:after="0" w:afterAutospacing="off"/>
              <w:rPr>
                <w:rFonts w:ascii="Calibri" w:hAnsi="Calibri" w:eastAsia="Calibri" w:cs="Calibri"/>
                <w:b w:val="0"/>
                <w:bCs w:val="0"/>
                <w:i w:val="0"/>
                <w:iCs w:val="0"/>
                <w:color w:val="242424"/>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7A642AD0" w14:textId="7AAF0E4A">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7F2640CF">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08EBC186" w14:textId="60E16715">
            <w:pPr>
              <w:bidi w:val="0"/>
              <w:spacing w:line="240" w:lineRule="auto"/>
              <w:rPr>
                <w:rFonts w:ascii="Calibri" w:hAnsi="Calibri" w:eastAsia="Calibri" w:cs="Calibri"/>
                <w:b w:val="0"/>
                <w:bCs w:val="0"/>
                <w:i w:val="0"/>
                <w:iCs w:val="0"/>
                <w:color w:val="000000" w:themeColor="text1" w:themeTint="FF" w:themeShade="FF"/>
                <w:sz w:val="24"/>
                <w:szCs w:val="24"/>
                <w:lang w:val="en-GB"/>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3DB2A48D" w14:textId="77877300">
            <w:pPr>
              <w:bidi w:val="0"/>
              <w:spacing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olor w:val="242424"/>
                <w:sz w:val="24"/>
                <w:szCs w:val="24"/>
                <w:lang w:val="en-US"/>
              </w:rPr>
              <w:t xml:space="preserve">To be confident in working independently whilst delivering outreach support </w:t>
            </w: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on sites and in homes.</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0D53A111" w14:textId="064CA157">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68BE3A51">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1F0D501A" w14:textId="0F6DB5D3">
            <w:pPr>
              <w:bidi w:val="0"/>
              <w:spacing w:line="240" w:lineRule="auto"/>
              <w:rPr>
                <w:rFonts w:ascii="Calibri" w:hAnsi="Calibri" w:eastAsia="Calibri" w:cs="Calibri"/>
                <w:b w:val="0"/>
                <w:bCs w:val="0"/>
                <w:i w:val="0"/>
                <w:iCs w:val="0"/>
                <w:color w:val="000000" w:themeColor="text1" w:themeTint="FF" w:themeShade="FF"/>
                <w:sz w:val="24"/>
                <w:szCs w:val="24"/>
                <w:lang w:val="en-GB"/>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627AA8ED" w14:textId="7506B218">
            <w:pPr>
              <w:bidi w:val="0"/>
              <w:spacing w:line="240" w:lineRule="auto"/>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 xml:space="preserve">Able to fill in member records and report/monitoring forms  </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62A9D52B" w14:textId="19F0AE1B">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05A6FC37">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731C031E" w14:textId="01BEAF7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1"/>
                <w:bCs w:val="1"/>
                <w:i w:val="0"/>
                <w:iCs w:val="0"/>
                <w:caps w:val="0"/>
                <w:smallCaps w:val="0"/>
                <w:color w:val="000000" w:themeColor="text1" w:themeTint="FF" w:themeShade="FF"/>
                <w:sz w:val="24"/>
                <w:szCs w:val="24"/>
                <w:lang w:val="en-GB"/>
              </w:rPr>
              <w:t>Personal Attributes</w:t>
            </w: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7759195C" w14:textId="752ECD19">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7615BE01" w14:textId="1A76930F">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20763DF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6CC7D01" w14:textId="5D111257">
            <w:pPr>
              <w:widowControl w:val="0"/>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76ED912" w14:textId="1771C761">
            <w:pPr>
              <w:bidi w:val="0"/>
              <w:spacing/>
              <w:contextualSpacing w:val="1"/>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Commitment to GATE’s values and mission</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5183C30F" w14:textId="0D159856">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0D60221A">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557EBC5C" w14:textId="31DFF55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3D0B4DC6" w14:textId="68B3C00A">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Ability to work well with our members using such skills as listening skills and empathy </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401C9DBF" w14:textId="5E1E9CC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17D8E256">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2933F18C" w14:textId="4BFBD27D">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0214E0B6" w14:textId="4FDD8E96">
            <w:pPr>
              <w:bidi w:val="0"/>
              <w:spacing w:after="0" w:line="240" w:lineRule="auto"/>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Committed to your own learning and development, including reflective practice</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74217541" w14:textId="244EDA02">
            <w:pPr>
              <w:bidi w:val="0"/>
              <w:spacing w:after="0"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54E4CDCD">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668266E5" w14:textId="06E94401">
            <w:pPr>
              <w:bidi w:val="0"/>
              <w:spacing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46D26185" w14:textId="1B6C6AE7">
            <w:pPr>
              <w:bidi w:val="0"/>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Ability to be proactive in developing the project in conjunction with the needs of families.</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40574346" w14:textId="67814F81">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63BF338F">
        <w:trPr>
          <w:trHeight w:val="285"/>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35156422" w14:textId="58C2097D">
            <w:pPr>
              <w:bidi w:val="0"/>
              <w:spacing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D4FC0A7" w14:textId="3C0EE471">
            <w:pPr>
              <w:bidi w:val="0"/>
              <w:rPr>
                <w:rFonts w:ascii="Calibri" w:hAnsi="Calibri" w:eastAsia="Calibri" w:cs="Calibri"/>
                <w:b w:val="0"/>
                <w:bCs w:val="0"/>
                <w:i w:val="0"/>
                <w:iCs w:val="0"/>
                <w:color w:val="000000" w:themeColor="text1" w:themeTint="FF" w:themeShade="FF"/>
                <w:sz w:val="24"/>
                <w:szCs w:val="24"/>
                <w:lang w:val="en-US"/>
              </w:rPr>
            </w:pPr>
            <w:r w:rsidRPr="32869021" w:rsidR="32869021">
              <w:rPr>
                <w:rFonts w:ascii="Calibri" w:hAnsi="Calibri" w:eastAsia="Calibri" w:cs="Calibri"/>
                <w:b w:val="0"/>
                <w:bCs w:val="0"/>
                <w:i w:val="0"/>
                <w:iCs w:val="0"/>
                <w:caps w:val="0"/>
                <w:smallCaps w:val="0"/>
                <w:color w:val="000000" w:themeColor="text1" w:themeTint="FF" w:themeShade="FF"/>
                <w:sz w:val="24"/>
                <w:szCs w:val="24"/>
                <w:lang w:val="en-GB"/>
              </w:rPr>
              <w:t>Ability to deliver the project using person centred, asset based, trauma informed approaches.</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2F8319DF" w14:textId="252CA61C">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r w:rsidR="32869021" w:rsidTr="32869021" w14:paraId="4EA48A81">
        <w:trPr>
          <w:trHeight w:val="300"/>
        </w:trPr>
        <w:tc>
          <w:tcPr>
            <w:tcW w:w="2250" w:type="dxa"/>
            <w:tcBorders>
              <w:top w:val="single" w:sz="6"/>
              <w:left w:val="single" w:sz="6"/>
              <w:bottom w:val="single" w:sz="6"/>
              <w:right w:val="single" w:sz="6"/>
            </w:tcBorders>
            <w:tcMar>
              <w:left w:w="90" w:type="dxa"/>
              <w:right w:w="90" w:type="dxa"/>
            </w:tcMar>
            <w:vAlign w:val="top"/>
          </w:tcPr>
          <w:p w:rsidR="32869021" w:rsidP="32869021" w:rsidRDefault="32869021" w14:paraId="32DC3FC2" w14:textId="16B899C5">
            <w:pPr>
              <w:bidi w:val="0"/>
              <w:spacing w:line="240" w:lineRule="auto"/>
              <w:rPr>
                <w:rFonts w:ascii="Calibri" w:hAnsi="Calibri" w:eastAsia="Calibri" w:cs="Calibri"/>
                <w:b w:val="0"/>
                <w:bCs w:val="0"/>
                <w:i w:val="0"/>
                <w:iCs w:val="0"/>
                <w:color w:val="000000" w:themeColor="text1" w:themeTint="FF" w:themeShade="FF"/>
                <w:sz w:val="24"/>
                <w:szCs w:val="24"/>
                <w:lang w:val="en-US"/>
              </w:rPr>
            </w:pPr>
          </w:p>
        </w:tc>
        <w:tc>
          <w:tcPr>
            <w:tcW w:w="3690" w:type="dxa"/>
            <w:tcBorders>
              <w:top w:val="single" w:sz="6"/>
              <w:left w:val="single" w:sz="6"/>
              <w:bottom w:val="single" w:sz="6"/>
              <w:right w:val="single" w:sz="6"/>
            </w:tcBorders>
            <w:tcMar>
              <w:left w:w="90" w:type="dxa"/>
              <w:right w:w="90" w:type="dxa"/>
            </w:tcMar>
            <w:vAlign w:val="top"/>
          </w:tcPr>
          <w:p w:rsidR="32869021" w:rsidP="32869021" w:rsidRDefault="32869021" w14:paraId="218AB507" w14:textId="4D6C5DF7">
            <w:pPr>
              <w:bidi w:val="0"/>
              <w:rPr>
                <w:rFonts w:ascii="Calibri" w:hAnsi="Calibri" w:eastAsia="Calibri" w:cs="Calibri"/>
                <w:b w:val="0"/>
                <w:bCs w:val="0"/>
                <w:i w:val="0"/>
                <w:iCs w:val="0"/>
                <w:color w:val="242424"/>
                <w:sz w:val="24"/>
                <w:szCs w:val="24"/>
                <w:lang w:val="en-US"/>
              </w:rPr>
            </w:pPr>
            <w:r w:rsidRPr="32869021" w:rsidR="32869021">
              <w:rPr>
                <w:rFonts w:ascii="Calibri" w:hAnsi="Calibri" w:eastAsia="Calibri" w:cs="Calibri"/>
                <w:b w:val="0"/>
                <w:bCs w:val="0"/>
                <w:i w:val="0"/>
                <w:iCs w:val="0"/>
                <w:color w:val="242424"/>
                <w:sz w:val="24"/>
                <w:szCs w:val="24"/>
                <w:lang w:val="en-US"/>
              </w:rPr>
              <w:t>Self-motivated and proactive</w:t>
            </w:r>
          </w:p>
        </w:tc>
        <w:tc>
          <w:tcPr>
            <w:tcW w:w="3645" w:type="dxa"/>
            <w:tcBorders>
              <w:top w:val="single" w:sz="6"/>
              <w:left w:val="single" w:sz="6"/>
              <w:bottom w:val="single" w:sz="6"/>
              <w:right w:val="single" w:sz="6"/>
            </w:tcBorders>
            <w:tcMar>
              <w:left w:w="90" w:type="dxa"/>
              <w:right w:w="90" w:type="dxa"/>
            </w:tcMar>
            <w:vAlign w:val="top"/>
          </w:tcPr>
          <w:p w:rsidR="32869021" w:rsidP="32869021" w:rsidRDefault="32869021" w14:paraId="6DB6B0E5" w14:textId="7D32EC28">
            <w:pPr>
              <w:bidi w:val="0"/>
              <w:spacing w:line="240" w:lineRule="auto"/>
              <w:rPr>
                <w:rFonts w:ascii="Calibri" w:hAnsi="Calibri" w:eastAsia="Calibri" w:cs="Calibri"/>
                <w:b w:val="0"/>
                <w:bCs w:val="0"/>
                <w:i w:val="0"/>
                <w:iCs w:val="0"/>
                <w:color w:val="000000" w:themeColor="text1" w:themeTint="FF" w:themeShade="FF"/>
                <w:sz w:val="24"/>
                <w:szCs w:val="24"/>
                <w:lang w:val="en-US"/>
              </w:rPr>
            </w:pPr>
          </w:p>
        </w:tc>
      </w:tr>
    </w:tbl>
    <w:p xmlns:wp14="http://schemas.microsoft.com/office/word/2010/wordml" w:rsidP="32869021" wp14:paraId="172395A2" wp14:textId="7A82B0BA">
      <w:pPr>
        <w:shd w:val="clear" w:color="auto" w:fill="FFFFFF" w:themeFill="background1"/>
        <w:bidi w:val="0"/>
        <w:spacing w:before="220" w:beforeAutospacing="off" w:after="220" w:afterAutospacing="off"/>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21</w:t>
      </w:r>
      <w:r w:rsidRPr="32869021" w:rsidR="2E2099B6">
        <w:rPr>
          <w:rFonts w:ascii="Calibri" w:hAnsi="Calibri" w:eastAsia="Calibri" w:cs="Calibri"/>
          <w:b w:val="1"/>
          <w:bCs w:val="1"/>
          <w:i w:val="0"/>
          <w:iCs w:val="0"/>
          <w:caps w:val="0"/>
          <w:smallCaps w:val="0"/>
          <w:noProof w:val="0"/>
          <w:color w:val="000000" w:themeColor="text1" w:themeTint="FF" w:themeShade="FF"/>
          <w:sz w:val="24"/>
          <w:szCs w:val="24"/>
          <w:vertAlign w:val="superscript"/>
          <w:lang w:val="en-GB"/>
        </w:rPr>
        <w:t>st</w:t>
      </w:r>
      <w:r w:rsidRPr="32869021" w:rsidR="2E2099B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January 2026</w:t>
      </w:r>
      <w:r>
        <w:br/>
      </w:r>
    </w:p>
    <w:p xmlns:wp14="http://schemas.microsoft.com/office/word/2010/wordml" w:rsidP="32869021" wp14:paraId="1169E5C8" wp14:textId="26FA1318">
      <w:pPr>
        <w:bidi w:val="0"/>
        <w:spacing w:after="0"/>
        <w:ind w:left="0"/>
        <w:rPr>
          <w:rFonts w:ascii="Aptos" w:hAnsi="Aptos" w:eastAsia="Aptos" w:cs="Aptos"/>
          <w:b w:val="0"/>
          <w:bCs w:val="0"/>
          <w:i w:val="0"/>
          <w:iCs w:val="0"/>
          <w:caps w:val="0"/>
          <w:smallCaps w:val="0"/>
          <w:noProof w:val="0"/>
          <w:color w:val="404041"/>
          <w:sz w:val="24"/>
          <w:szCs w:val="24"/>
          <w:lang w:val="en-US"/>
        </w:rPr>
      </w:pPr>
    </w:p>
    <w:p xmlns:wp14="http://schemas.microsoft.com/office/word/2010/wordml" wp14:paraId="2C078E63" wp14:textId="3300D19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169b4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0b0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d503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4d3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260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E0427"/>
    <w:rsid w:val="099E0427"/>
    <w:rsid w:val="2E2099B6"/>
    <w:rsid w:val="32869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3F72"/>
  <w15:chartTrackingRefBased/>
  <w15:docId w15:val="{8AC00F46-9E56-4C5C-93D2-AF7161F50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098564359" /><Relationship Type="http://schemas.openxmlformats.org/officeDocument/2006/relationships/numbering" Target="numbering.xml" Id="Rada45093804447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2" ma:contentTypeDescription="Create a new document." ma:contentTypeScope="" ma:versionID="1cb99acdee4864faa14d1d54e24d9a47">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d7d8d5dfa1f57d366bece50fe773885e"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6797b-6cff-42b0-b7ef-e6fcefe77b51" xsi:nil="true"/>
    <lcf76f155ced4ddcb4097134ff3c332f xmlns="a5c7b982-5625-4a60-b535-d3bbf33a1984">
      <Terms xmlns="http://schemas.microsoft.com/office/infopath/2007/PartnerControls"/>
    </lcf76f155ced4ddcb4097134ff3c332f>
    <_Flow_SignoffStatus xmlns="a5c7b982-5625-4a60-b535-d3bbf33a1984" xsi:nil="true"/>
  </documentManagement>
</p:properties>
</file>

<file path=customXml/itemProps1.xml><?xml version="1.0" encoding="utf-8"?>
<ds:datastoreItem xmlns:ds="http://schemas.openxmlformats.org/officeDocument/2006/customXml" ds:itemID="{5E916003-F77E-4178-8B15-2F489F1FBEF6}"/>
</file>

<file path=customXml/itemProps2.xml><?xml version="1.0" encoding="utf-8"?>
<ds:datastoreItem xmlns:ds="http://schemas.openxmlformats.org/officeDocument/2006/customXml" ds:itemID="{F4A27B21-E4E8-4128-815C-24DB11700BD0}"/>
</file>

<file path=customXml/itemProps3.xml><?xml version="1.0" encoding="utf-8"?>
<ds:datastoreItem xmlns:ds="http://schemas.openxmlformats.org/officeDocument/2006/customXml" ds:itemID="{7CDF40BA-7EE5-49CB-849E-6E31D22A6F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Cunningham</dc:creator>
  <cp:keywords/>
  <dc:description/>
  <cp:lastModifiedBy>Mary Cunningham</cp:lastModifiedBy>
  <dcterms:created xsi:type="dcterms:W3CDTF">2026-02-13T16:27:13Z</dcterms:created>
  <dcterms:modified xsi:type="dcterms:W3CDTF">2026-02-13T16:27:53Z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